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333333"/>
          <w:kern w:val="0"/>
          <w:sz w:val="36"/>
          <w:szCs w:val="36"/>
        </w:rPr>
      </w:pPr>
      <w:r>
        <w:rPr>
          <w:rFonts w:hint="eastAsia" w:ascii="华文中宋" w:hAnsi="华文中宋" w:eastAsia="华文中宋" w:cs="宋体"/>
          <w:color w:val="333333"/>
          <w:spacing w:val="-20"/>
          <w:kern w:val="0"/>
          <w:sz w:val="36"/>
          <w:szCs w:val="36"/>
        </w:rPr>
        <w:t>安徽财经大学课程替代和学分认定管理暂行办法（节选）</w:t>
      </w:r>
    </w:p>
    <w:p>
      <w:pPr>
        <w:widowControl/>
        <w:shd w:val="clear" w:color="auto" w:fill="FFFFFF"/>
        <w:spacing w:line="640" w:lineRule="atLeast"/>
        <w:ind w:firstLine="640"/>
        <w:jc w:val="left"/>
        <w:rPr>
          <w:rFonts w:hint="eastAsia" w:ascii="仿宋" w:hAnsi="仿宋" w:eastAsia="仿宋" w:cs="宋体"/>
          <w:color w:val="333333"/>
          <w:kern w:val="0"/>
          <w:sz w:val="32"/>
          <w:szCs w:val="32"/>
        </w:rPr>
      </w:pP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为进一步完善和推动学分制实施办法，健全本科教学运行管理体系，加强本科课程的管理，充分调动学生学习的主动性和积极性，因材施教，促进个性化教学，体现“以学生为本”的教学管理理念，对学生转专业或专业分流、校际交流、学籍异动以及参加特色项目培养等原因需进行课程替代和学分认定，特制定本办法。</w:t>
      </w:r>
    </w:p>
    <w:p>
      <w:pPr>
        <w:widowControl/>
        <w:shd w:val="clear" w:color="auto" w:fill="FFFFFF"/>
        <w:spacing w:line="560" w:lineRule="exact"/>
        <w:ind w:firstLine="643"/>
        <w:jc w:val="left"/>
        <w:rPr>
          <w:rFonts w:hint="eastAsia" w:ascii="宋体" w:hAnsi="宋体" w:eastAsia="宋体" w:cs="宋体"/>
          <w:color w:val="333333"/>
          <w:kern w:val="0"/>
          <w:sz w:val="28"/>
          <w:szCs w:val="28"/>
          <w:shd w:val="clear" w:color="auto" w:fill="auto"/>
        </w:rPr>
      </w:pPr>
      <w:r>
        <w:rPr>
          <w:rFonts w:hint="eastAsia" w:ascii="宋体" w:hAnsi="宋体" w:eastAsia="宋体" w:cs="宋体"/>
          <w:b/>
          <w:bCs/>
          <w:color w:val="333333"/>
          <w:kern w:val="0"/>
          <w:sz w:val="28"/>
          <w:szCs w:val="28"/>
          <w:shd w:val="clear" w:color="auto" w:fill="auto"/>
        </w:rPr>
        <w:t>一、总则</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第一条 课程替代是指学生修读非本专业人才培养方案所规定课程或在相同专业人才培养方案的不同平台课程，替换成本专业人才培养方案所规定的相关课程。</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第二条 替代课程与被替代课程的课程性质、课程内容、教学要求相同或相近方可申请课程替代（课程属性相同或相近）。</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第三条 替代课程规格不得低于原课程规格（包括：低学分课程不得替代高学分课程、选修课程不得替代必修课程、考查课程不得替代考试课程）。</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第四条 已修课程原则上不得通过课程替代的方式申请重修。</w:t>
      </w:r>
    </w:p>
    <w:p>
      <w:pPr>
        <w:widowControl/>
        <w:shd w:val="clear" w:color="auto" w:fill="FFFFFF"/>
        <w:spacing w:line="560" w:lineRule="exact"/>
        <w:ind w:firstLine="643"/>
        <w:jc w:val="left"/>
        <w:rPr>
          <w:rFonts w:hint="eastAsia" w:ascii="宋体" w:hAnsi="宋体" w:eastAsia="宋体" w:cs="宋体"/>
          <w:color w:val="333333"/>
          <w:kern w:val="0"/>
          <w:sz w:val="28"/>
          <w:szCs w:val="28"/>
          <w:shd w:val="clear" w:color="auto" w:fill="auto"/>
        </w:rPr>
      </w:pPr>
      <w:r>
        <w:rPr>
          <w:rFonts w:hint="eastAsia" w:ascii="宋体" w:hAnsi="宋体" w:eastAsia="宋体" w:cs="宋体"/>
          <w:b/>
          <w:bCs/>
          <w:color w:val="333333"/>
          <w:kern w:val="0"/>
          <w:sz w:val="28"/>
          <w:szCs w:val="28"/>
          <w:shd w:val="clear" w:color="auto" w:fill="auto"/>
        </w:rPr>
        <w:t>二、课程替代的适用范围</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第五条 由于培养方案调整，原课程停开而导致无法修读的课程。</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第六条 由于转专业，已修读的与新专业课程属性相关的课程。</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第七条 由于申请提前毕业需要修读的或需要重修的相关课程。</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第八条 通识教育平台、创新创业平台、特色平台、个性化学习平台中的相关选修课程，以及网络课程。</w:t>
      </w:r>
    </w:p>
    <w:p>
      <w:pPr>
        <w:widowControl/>
        <w:shd w:val="clear" w:color="auto" w:fill="FFFFFF"/>
        <w:spacing w:line="560" w:lineRule="exact"/>
        <w:ind w:firstLine="643"/>
        <w:jc w:val="left"/>
        <w:rPr>
          <w:rFonts w:hint="eastAsia" w:ascii="宋体" w:hAnsi="宋体" w:eastAsia="宋体" w:cs="宋体"/>
          <w:color w:val="333333"/>
          <w:kern w:val="0"/>
          <w:sz w:val="28"/>
          <w:szCs w:val="28"/>
          <w:shd w:val="clear" w:color="auto" w:fill="auto"/>
        </w:rPr>
      </w:pPr>
      <w:r>
        <w:rPr>
          <w:rFonts w:hint="eastAsia" w:ascii="宋体" w:hAnsi="宋体" w:eastAsia="宋体" w:cs="宋体"/>
          <w:b/>
          <w:bCs/>
          <w:color w:val="333333"/>
          <w:kern w:val="0"/>
          <w:sz w:val="28"/>
          <w:szCs w:val="28"/>
          <w:shd w:val="clear" w:color="auto" w:fill="auto"/>
        </w:rPr>
        <w:t>三、学生出国（境）交流课程替代及成绩转换</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第九条 学生在境外交流学习所修课程及学分按《安徽财经大学本科生赴国（境）外大学学习课程学分认定管理暂行办法》予以认定。</w:t>
      </w:r>
    </w:p>
    <w:p>
      <w:pPr>
        <w:widowControl/>
        <w:shd w:val="clear" w:color="auto" w:fill="FFFFFF"/>
        <w:spacing w:line="560" w:lineRule="exact"/>
        <w:ind w:firstLine="643"/>
        <w:jc w:val="left"/>
        <w:rPr>
          <w:rFonts w:hint="eastAsia" w:ascii="宋体" w:hAnsi="宋体" w:eastAsia="宋体" w:cs="宋体"/>
          <w:color w:val="333333"/>
          <w:kern w:val="0"/>
          <w:sz w:val="28"/>
          <w:szCs w:val="28"/>
          <w:shd w:val="clear" w:color="auto" w:fill="auto"/>
        </w:rPr>
      </w:pPr>
      <w:r>
        <w:rPr>
          <w:rFonts w:hint="eastAsia" w:ascii="宋体" w:hAnsi="宋体" w:eastAsia="宋体" w:cs="宋体"/>
          <w:b/>
          <w:bCs/>
          <w:color w:val="333333"/>
          <w:kern w:val="0"/>
          <w:sz w:val="28"/>
          <w:szCs w:val="28"/>
          <w:shd w:val="clear" w:color="auto" w:fill="auto"/>
        </w:rPr>
        <w:t>四、不允许课程替代的情况</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第十条 基础课平台、专业课平台课程原则上不能替代。</w:t>
      </w:r>
    </w:p>
    <w:p>
      <w:pPr>
        <w:widowControl/>
        <w:shd w:val="clear" w:color="auto" w:fill="FFFFFF"/>
        <w:spacing w:line="560" w:lineRule="exact"/>
        <w:ind w:firstLine="64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第十一条 必须满足通识教育平台、创新创业平台、特色平台、个性化学习平台中最低修读学分要求。</w:t>
      </w:r>
    </w:p>
    <w:p>
      <w:pPr>
        <w:widowControl/>
        <w:shd w:val="clear" w:color="auto" w:fill="FFFFFF"/>
        <w:spacing w:line="560" w:lineRule="exact"/>
        <w:ind w:firstLine="643"/>
        <w:jc w:val="left"/>
        <w:rPr>
          <w:rFonts w:hint="eastAsia" w:ascii="宋体" w:hAnsi="宋体" w:eastAsia="宋体" w:cs="宋体"/>
          <w:b/>
          <w:bCs/>
          <w:color w:val="333333"/>
          <w:kern w:val="0"/>
          <w:sz w:val="28"/>
          <w:szCs w:val="28"/>
          <w:shd w:val="clear" w:color="auto" w:fill="auto"/>
        </w:rPr>
      </w:pPr>
    </w:p>
    <w:p>
      <w:pPr>
        <w:widowControl/>
        <w:shd w:val="clear" w:color="auto" w:fill="FFFFFF"/>
        <w:spacing w:line="560" w:lineRule="exact"/>
        <w:ind w:firstLine="643"/>
        <w:jc w:val="left"/>
        <w:rPr>
          <w:rFonts w:hint="eastAsia" w:ascii="宋体" w:hAnsi="宋体" w:eastAsia="宋体" w:cs="宋体"/>
          <w:b/>
          <w:bCs/>
          <w:color w:val="333333"/>
          <w:kern w:val="0"/>
          <w:sz w:val="28"/>
          <w:szCs w:val="28"/>
          <w:shd w:val="clear" w:color="auto" w:fill="auto"/>
        </w:rPr>
      </w:pPr>
    </w:p>
    <w:p>
      <w:pPr>
        <w:widowControl/>
        <w:shd w:val="clear" w:color="auto" w:fill="FFFFFF"/>
        <w:spacing w:line="560" w:lineRule="exact"/>
        <w:ind w:firstLine="643"/>
        <w:jc w:val="left"/>
        <w:rPr>
          <w:rFonts w:hint="eastAsia" w:ascii="宋体" w:hAnsi="宋体" w:eastAsia="宋体" w:cs="宋体"/>
          <w:b/>
          <w:bCs/>
          <w:color w:val="333333"/>
          <w:kern w:val="0"/>
          <w:sz w:val="28"/>
          <w:szCs w:val="28"/>
          <w:shd w:val="clear" w:color="auto" w:fill="auto"/>
        </w:rPr>
      </w:pPr>
    </w:p>
    <w:p>
      <w:pPr>
        <w:widowControl/>
        <w:shd w:val="clear" w:color="auto" w:fill="FFFFFF"/>
        <w:spacing w:line="560" w:lineRule="exact"/>
        <w:ind w:firstLine="643"/>
        <w:jc w:val="left"/>
        <w:rPr>
          <w:rFonts w:hint="eastAsia" w:ascii="宋体" w:hAnsi="宋体" w:eastAsia="宋体" w:cs="宋体"/>
          <w:b/>
          <w:bCs/>
          <w:color w:val="333333"/>
          <w:kern w:val="0"/>
          <w:sz w:val="28"/>
          <w:szCs w:val="28"/>
          <w:shd w:val="clear" w:color="auto" w:fill="auto"/>
        </w:rPr>
      </w:pPr>
    </w:p>
    <w:p>
      <w:pPr>
        <w:widowControl/>
        <w:shd w:val="clear" w:color="auto" w:fill="FFFFFF"/>
        <w:spacing w:line="560" w:lineRule="exact"/>
        <w:ind w:firstLine="643"/>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 xml:space="preserve">              </w:t>
      </w:r>
    </w:p>
    <w:p>
      <w:pPr>
        <w:widowControl/>
        <w:shd w:val="clear" w:color="auto" w:fill="FFFFFF"/>
        <w:spacing w:line="560" w:lineRule="exact"/>
        <w:ind w:firstLine="6160" w:firstLineChars="220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 xml:space="preserve"> </w:t>
      </w:r>
      <w:r>
        <w:rPr>
          <w:rFonts w:hint="eastAsia" w:ascii="宋体" w:hAnsi="宋体" w:eastAsia="宋体" w:cs="宋体"/>
          <w:color w:val="333333"/>
          <w:kern w:val="0"/>
          <w:sz w:val="28"/>
          <w:szCs w:val="28"/>
          <w:shd w:val="clear" w:color="auto" w:fill="auto"/>
          <w:lang w:val="en-US" w:eastAsia="zh-CN"/>
        </w:rPr>
        <w:t xml:space="preserve"> </w:t>
      </w:r>
      <w:r>
        <w:rPr>
          <w:rFonts w:hint="eastAsia" w:ascii="宋体" w:hAnsi="宋体" w:eastAsia="宋体" w:cs="宋体"/>
          <w:color w:val="333333"/>
          <w:kern w:val="0"/>
          <w:sz w:val="28"/>
          <w:szCs w:val="28"/>
          <w:shd w:val="clear" w:color="auto" w:fill="auto"/>
        </w:rPr>
        <w:t>教务处</w:t>
      </w:r>
    </w:p>
    <w:p>
      <w:pPr>
        <w:widowControl/>
        <w:shd w:val="clear" w:color="auto" w:fill="FFFFFF"/>
        <w:spacing w:line="560" w:lineRule="exact"/>
        <w:ind w:firstLine="5920"/>
        <w:jc w:val="left"/>
        <w:rPr>
          <w:rFonts w:hint="eastAsia" w:ascii="宋体" w:hAnsi="宋体" w:eastAsia="宋体" w:cs="宋体"/>
          <w:color w:val="333333"/>
          <w:kern w:val="0"/>
          <w:sz w:val="28"/>
          <w:szCs w:val="28"/>
          <w:shd w:val="clear" w:color="auto" w:fill="auto"/>
        </w:rPr>
      </w:pPr>
      <w:r>
        <w:rPr>
          <w:rFonts w:hint="eastAsia" w:ascii="宋体" w:hAnsi="宋体" w:eastAsia="宋体" w:cs="宋体"/>
          <w:color w:val="333333"/>
          <w:kern w:val="0"/>
          <w:sz w:val="28"/>
          <w:szCs w:val="28"/>
          <w:shd w:val="clear" w:color="auto" w:fill="auto"/>
        </w:rPr>
        <w:t>201</w:t>
      </w:r>
      <w:r>
        <w:rPr>
          <w:rFonts w:hint="eastAsia" w:ascii="宋体" w:hAnsi="宋体" w:eastAsia="宋体" w:cs="宋体"/>
          <w:color w:val="333333"/>
          <w:kern w:val="0"/>
          <w:sz w:val="28"/>
          <w:szCs w:val="28"/>
          <w:shd w:val="clear" w:color="auto" w:fill="auto"/>
          <w:lang w:val="en-US" w:eastAsia="zh-CN"/>
        </w:rPr>
        <w:t>9</w:t>
      </w:r>
      <w:r>
        <w:rPr>
          <w:rFonts w:hint="eastAsia" w:ascii="宋体" w:hAnsi="宋体" w:eastAsia="宋体" w:cs="宋体"/>
          <w:color w:val="333333"/>
          <w:kern w:val="0"/>
          <w:sz w:val="28"/>
          <w:szCs w:val="28"/>
          <w:shd w:val="clear" w:color="auto" w:fill="auto"/>
        </w:rPr>
        <w:t>年</w:t>
      </w:r>
      <w:r>
        <w:rPr>
          <w:rFonts w:hint="eastAsia" w:ascii="宋体" w:hAnsi="宋体" w:eastAsia="宋体" w:cs="宋体"/>
          <w:color w:val="333333"/>
          <w:kern w:val="0"/>
          <w:sz w:val="28"/>
          <w:szCs w:val="28"/>
          <w:shd w:val="clear" w:color="auto" w:fill="auto"/>
          <w:lang w:val="en-US" w:eastAsia="zh-CN"/>
        </w:rPr>
        <w:t>8</w:t>
      </w:r>
      <w:r>
        <w:rPr>
          <w:rFonts w:hint="eastAsia" w:ascii="宋体" w:hAnsi="宋体" w:eastAsia="宋体" w:cs="宋体"/>
          <w:color w:val="333333"/>
          <w:kern w:val="0"/>
          <w:sz w:val="28"/>
          <w:szCs w:val="28"/>
          <w:shd w:val="clear" w:color="auto" w:fill="auto"/>
        </w:rPr>
        <w:t>月</w:t>
      </w:r>
      <w:r>
        <w:rPr>
          <w:rFonts w:hint="eastAsia" w:ascii="宋体" w:hAnsi="宋体" w:eastAsia="宋体" w:cs="宋体"/>
          <w:color w:val="333333"/>
          <w:kern w:val="0"/>
          <w:sz w:val="28"/>
          <w:szCs w:val="28"/>
          <w:shd w:val="clear" w:color="auto" w:fill="auto"/>
          <w:lang w:val="en-US" w:eastAsia="zh-CN"/>
        </w:rPr>
        <w:t>30</w:t>
      </w:r>
      <w:r>
        <w:rPr>
          <w:rFonts w:hint="eastAsia" w:ascii="宋体" w:hAnsi="宋体" w:eastAsia="宋体" w:cs="宋体"/>
          <w:color w:val="333333"/>
          <w:kern w:val="0"/>
          <w:sz w:val="28"/>
          <w:szCs w:val="28"/>
          <w:shd w:val="clear" w:color="auto" w:fill="auto"/>
        </w:rPr>
        <w:t>日</w:t>
      </w:r>
      <w:r>
        <w:rPr>
          <w:rFonts w:hint="eastAsia" w:ascii="宋体" w:hAnsi="宋体" w:eastAsia="宋体" w:cs="宋体"/>
          <w:color w:val="000000"/>
          <w:kern w:val="0"/>
          <w:sz w:val="28"/>
          <w:szCs w:val="28"/>
          <w:shd w:val="clear" w:color="auto" w:fill="auto"/>
        </w:rPr>
        <w:t>　　　　　　　　　　　</w:t>
      </w:r>
    </w:p>
    <w:p>
      <w:pPr>
        <w:rPr>
          <w:rFonts w:hint="eastAsia" w:ascii="宋体" w:hAnsi="宋体" w:eastAsia="宋体" w:cs="宋体"/>
          <w:sz w:val="28"/>
          <w:szCs w:val="28"/>
          <w:shd w:val="clear" w:color="auto" w:fil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E7"/>
    <w:rsid w:val="000F0CDD"/>
    <w:rsid w:val="00DE52E7"/>
    <w:rsid w:val="0E5B6C23"/>
    <w:rsid w:val="68AB3933"/>
    <w:rsid w:val="7A17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112</Words>
  <Characters>642</Characters>
  <Lines>5</Lines>
  <Paragraphs>1</Paragraphs>
  <TotalTime>2</TotalTime>
  <ScaleCrop>false</ScaleCrop>
  <LinksUpToDate>false</LinksUpToDate>
  <CharactersWithSpaces>753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2019-02-23T03:08:00Z</dcterms:created>
  <dc:creator>PC</dc:creator>
  <cp:lastModifiedBy>1</cp:lastModifiedBy>
  <dcterms:modified xsi:type="dcterms:W3CDTF">2019-08-29T07:43:00Z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